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DC0B8">
      <w:pPr>
        <w:pStyle w:val="2"/>
        <w:jc w:val="center"/>
        <w:rPr>
          <w:rFonts w:hint="eastAsia" w:ascii="黑体" w:hAnsi="黑体" w:eastAsia="黑体"/>
          <w:color w:val="auto"/>
          <w:sz w:val="32"/>
          <w:szCs w:val="32"/>
        </w:rPr>
      </w:pPr>
      <w:r>
        <w:rPr>
          <w:rFonts w:hint="eastAsia" w:ascii="黑体" w:hAnsi="黑体" w:eastAsia="黑体"/>
          <w:color w:val="auto"/>
          <w:sz w:val="32"/>
          <w:szCs w:val="32"/>
        </w:rPr>
        <w:t>《食品企业数字化系统成熟度评价规范》编制说明</w:t>
      </w:r>
    </w:p>
    <w:p w14:paraId="52370C76">
      <w:pPr>
        <w:rPr>
          <w:rFonts w:hint="eastAsia"/>
        </w:rPr>
      </w:pPr>
    </w:p>
    <w:p w14:paraId="266EF84B">
      <w:pPr>
        <w:pStyle w:val="3"/>
        <w:rPr>
          <w:rFonts w:hint="eastAsia" w:ascii="宋体" w:hAnsi="宋体" w:eastAsia="宋体"/>
          <w:b/>
          <w:bCs/>
          <w:color w:val="auto"/>
          <w:sz w:val="28"/>
          <w:szCs w:val="28"/>
        </w:rPr>
      </w:pPr>
      <w:r>
        <w:rPr>
          <w:rFonts w:hint="eastAsia" w:ascii="宋体" w:hAnsi="宋体" w:eastAsia="宋体"/>
          <w:b/>
          <w:bCs/>
          <w:color w:val="auto"/>
          <w:sz w:val="28"/>
          <w:szCs w:val="28"/>
        </w:rPr>
        <w:t>一、工作简况</w:t>
      </w:r>
    </w:p>
    <w:p w14:paraId="0A381BD5">
      <w:pPr>
        <w:spacing w:line="360" w:lineRule="auto"/>
        <w:rPr>
          <w:rFonts w:hint="eastAsia" w:ascii="宋体" w:hAnsi="宋体" w:eastAsia="宋体"/>
          <w:sz w:val="24"/>
          <w:szCs w:val="24"/>
        </w:rPr>
      </w:pPr>
      <w:r>
        <w:rPr>
          <w:rFonts w:hint="eastAsia" w:ascii="宋体" w:hAnsi="宋体" w:eastAsia="宋体"/>
          <w:sz w:val="24"/>
          <w:szCs w:val="24"/>
        </w:rPr>
        <w:t>1. 任务来源</w:t>
      </w:r>
    </w:p>
    <w:p w14:paraId="259071E7">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本项目来源国家市场监督管理总局2023年科技项目“基于群体智能的食品安全指数研究”，本标准是该项目的成果之一，解决食品行业数字化建设的规范性和一致性问题。本标准根据《中华人民共和国标准化法》、《团体标准管理规定》及《中国副食流通协会团体标准管理办法（暂行）》的相关要求，由中国副食流通协会标准与法规工作委员会提出并归口。由中国网络安全审查认证和市场监管大数据中心、北京航空航天大学、北京工商大学、北京交通大学、中国副食流通协会食品安全与信息追溯分会等单位共同承担本标准的研制工作。</w:t>
      </w:r>
    </w:p>
    <w:p w14:paraId="316E7540">
      <w:pPr>
        <w:rPr>
          <w:rFonts w:hint="eastAsia"/>
        </w:rPr>
      </w:pPr>
    </w:p>
    <w:p w14:paraId="7594D2EA">
      <w:pPr>
        <w:spacing w:line="360" w:lineRule="auto"/>
        <w:rPr>
          <w:rFonts w:hint="eastAsia" w:ascii="宋体" w:hAnsi="宋体" w:eastAsia="宋体"/>
          <w:sz w:val="24"/>
          <w:szCs w:val="24"/>
        </w:rPr>
      </w:pPr>
      <w:r>
        <w:rPr>
          <w:rFonts w:hint="eastAsia" w:ascii="宋体" w:hAnsi="宋体" w:eastAsia="宋体"/>
          <w:sz w:val="24"/>
          <w:szCs w:val="24"/>
        </w:rPr>
        <w:t>2. 主要工作过程</w:t>
      </w:r>
    </w:p>
    <w:p w14:paraId="696C63D3">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预研阶段（2024年6-12月）：成立标准编制组，深入调研国内食品行业智能制造、数字化转型成熟度模型的发展现状，系统分析食品行业在数字化转型过程中的痛点、难点与特殊需求。</w:t>
      </w:r>
    </w:p>
    <w:p w14:paraId="430BFEEC">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立项阶段（2025年5月14日）：标准项目通过中国副食流通协会立项。</w:t>
      </w:r>
    </w:p>
    <w:p w14:paraId="7E3E8990">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起草阶段（2025年5-9月）：在充分调研的基础上，构建标准框架，形成标准草案初稿。编制组内部多次召开研讨会，对标准的核心内容，如成熟度等级、评价指标、评价方法等进行深入讨论和修改</w:t>
      </w:r>
      <w:r>
        <w:rPr>
          <w:rFonts w:hint="eastAsia" w:ascii="宋体" w:hAnsi="宋体" w:eastAsia="宋体"/>
          <w:sz w:val="24"/>
          <w:szCs w:val="24"/>
          <w:lang w:eastAsia="zh-CN"/>
        </w:rPr>
        <w:t>并将标准名称由立项时的《食品企业信息化建设评价规范》修改为</w:t>
      </w:r>
      <w:bookmarkStart w:id="0" w:name="_GoBack"/>
      <w:bookmarkEnd w:id="0"/>
      <w:r>
        <w:rPr>
          <w:rFonts w:hint="eastAsia" w:ascii="宋体" w:hAnsi="宋体" w:eastAsia="宋体"/>
          <w:sz w:val="24"/>
          <w:szCs w:val="24"/>
          <w:lang w:eastAsia="zh-CN"/>
        </w:rPr>
        <w:t>《食品企业数字化系统成熟度评价规范》</w:t>
      </w:r>
      <w:r>
        <w:rPr>
          <w:rFonts w:hint="eastAsia" w:ascii="宋体" w:hAnsi="宋体" w:eastAsia="宋体"/>
          <w:sz w:val="24"/>
          <w:szCs w:val="24"/>
        </w:rPr>
        <w:t>。</w:t>
      </w:r>
    </w:p>
    <w:p w14:paraId="40305971">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征求意见阶段（2025年9月30日-1</w:t>
      </w:r>
      <w:r>
        <w:rPr>
          <w:rFonts w:hint="eastAsia" w:ascii="宋体" w:hAnsi="宋体" w:eastAsia="宋体"/>
          <w:sz w:val="24"/>
          <w:szCs w:val="24"/>
          <w:lang w:val="en-US" w:eastAsia="zh-CN"/>
        </w:rPr>
        <w:t>0</w:t>
      </w:r>
      <w:r>
        <w:rPr>
          <w:rFonts w:hint="eastAsia" w:ascii="宋体" w:hAnsi="宋体" w:eastAsia="宋体"/>
          <w:sz w:val="24"/>
          <w:szCs w:val="24"/>
        </w:rPr>
        <w:t>月</w:t>
      </w:r>
      <w:r>
        <w:rPr>
          <w:rFonts w:hint="eastAsia" w:ascii="宋体" w:hAnsi="宋体" w:eastAsia="宋体"/>
          <w:sz w:val="24"/>
          <w:szCs w:val="24"/>
          <w:lang w:val="en-US" w:eastAsia="zh-CN"/>
        </w:rPr>
        <w:t>31</w:t>
      </w:r>
      <w:r>
        <w:rPr>
          <w:rFonts w:hint="eastAsia" w:ascii="宋体" w:hAnsi="宋体" w:eastAsia="宋体"/>
          <w:sz w:val="24"/>
          <w:szCs w:val="24"/>
        </w:rPr>
        <w:t>日）：拟将标准征求意见稿向社会公开广泛征求意见，重点征求食品生产企业、数字化解决方案供应商、科研院所、检测认证机构及行业专家的意见。</w:t>
      </w:r>
    </w:p>
    <w:p w14:paraId="51200473">
      <w:pPr>
        <w:spacing w:line="360" w:lineRule="auto"/>
        <w:rPr>
          <w:rFonts w:hint="eastAsia" w:ascii="宋体" w:hAnsi="宋体" w:eastAsia="宋体"/>
          <w:sz w:val="24"/>
          <w:szCs w:val="24"/>
        </w:rPr>
      </w:pPr>
    </w:p>
    <w:p w14:paraId="2E1A9EC2">
      <w:pPr>
        <w:spacing w:line="360" w:lineRule="auto"/>
        <w:rPr>
          <w:rFonts w:hint="eastAsia" w:ascii="宋体" w:hAnsi="宋体" w:eastAsia="宋体"/>
          <w:sz w:val="24"/>
          <w:szCs w:val="24"/>
        </w:rPr>
      </w:pPr>
      <w:r>
        <w:rPr>
          <w:rFonts w:hint="eastAsia" w:ascii="宋体" w:hAnsi="宋体" w:eastAsia="宋体"/>
          <w:sz w:val="24"/>
          <w:szCs w:val="24"/>
        </w:rPr>
        <w:t>3. 主要起草人及其所做工作</w:t>
      </w:r>
    </w:p>
    <w:p w14:paraId="1AA114C6">
      <w:pPr>
        <w:rPr>
          <w:rFonts w:hint="eastAsia" w:ascii="宋体" w:hAnsi="宋体" w:eastAsia="宋体"/>
          <w:sz w:val="24"/>
          <w:szCs w:val="24"/>
        </w:rPr>
      </w:pPr>
    </w:p>
    <w:p w14:paraId="54AA3708">
      <w:pPr>
        <w:rPr>
          <w:rFonts w:hint="eastAsia"/>
        </w:rPr>
      </w:pPr>
    </w:p>
    <w:p w14:paraId="30A6A43B">
      <w:pPr>
        <w:pStyle w:val="3"/>
        <w:rPr>
          <w:rFonts w:hint="eastAsia" w:ascii="宋体" w:hAnsi="宋体" w:eastAsia="宋体"/>
          <w:b/>
          <w:bCs/>
          <w:color w:val="auto"/>
          <w:sz w:val="28"/>
          <w:szCs w:val="28"/>
        </w:rPr>
      </w:pPr>
      <w:r>
        <w:rPr>
          <w:rFonts w:hint="eastAsia" w:ascii="宋体" w:hAnsi="宋体" w:eastAsia="宋体"/>
          <w:b/>
          <w:bCs/>
          <w:color w:val="auto"/>
          <w:sz w:val="28"/>
          <w:szCs w:val="28"/>
        </w:rPr>
        <w:t>二、 标准编制原则和确定标准主要内容的论据</w:t>
      </w:r>
    </w:p>
    <w:p w14:paraId="40A66A7A">
      <w:pPr>
        <w:spacing w:line="360" w:lineRule="auto"/>
        <w:rPr>
          <w:rFonts w:hint="eastAsia" w:ascii="宋体" w:hAnsi="宋体" w:eastAsia="宋体"/>
          <w:sz w:val="24"/>
          <w:szCs w:val="24"/>
        </w:rPr>
      </w:pPr>
      <w:r>
        <w:rPr>
          <w:rFonts w:hint="eastAsia" w:ascii="宋体" w:hAnsi="宋体" w:eastAsia="宋体"/>
          <w:sz w:val="24"/>
          <w:szCs w:val="24"/>
        </w:rPr>
        <w:t>1. 编制原则</w:t>
      </w:r>
    </w:p>
    <w:p w14:paraId="4B4F9D14">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本标准在制定过程中遵循以下基本原则：</w:t>
      </w:r>
    </w:p>
    <w:p w14:paraId="4849E6D3">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科学性性原则：参考国内外公认的成熟度模型理论框架，确保标准结构的系统性和逻辑性。评价指标的设计既涵盖通用能力，又突出行业特性，确保评价结果的科学、客观。</w:t>
      </w:r>
    </w:p>
    <w:p w14:paraId="56290F55">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导向性原则：标准不仅用于评价当前水平，更旨在为食品企业提供清晰的数字化转型路径图和发展方向，引导企业由技术应用向业务创新和模式变革演进。</w:t>
      </w:r>
    </w:p>
    <w:p w14:paraId="003E1230">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可操作性原则：标准条款力求清晰明确，评价方法具体可行，评分规则易于理解和执行，确保企业能够进行自评估，第三方机构能够进行公正评估。</w:t>
      </w:r>
    </w:p>
    <w:p w14:paraId="684C7AE6">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行业适用性原则：紧密结合食品行业特点，重点关注食品安全、质量追溯、合规监管、供应链协同等核心场景，确保标准在食品领域的实用性和针对性。</w:t>
      </w:r>
    </w:p>
    <w:p w14:paraId="5913C3FD">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兼容性原则：标准编制充分研究并借鉴了国内外相关标准，力求与现行国家标准（GB/T）、国际通用模型保持协调和衔接。</w:t>
      </w:r>
    </w:p>
    <w:p w14:paraId="0B0A3DC9">
      <w:pPr>
        <w:spacing w:line="360" w:lineRule="auto"/>
        <w:rPr>
          <w:rFonts w:hint="eastAsia" w:ascii="宋体" w:hAnsi="宋体" w:eastAsia="宋体"/>
          <w:sz w:val="24"/>
          <w:szCs w:val="24"/>
        </w:rPr>
      </w:pPr>
      <w:r>
        <w:rPr>
          <w:rFonts w:hint="eastAsia" w:ascii="宋体" w:hAnsi="宋体" w:eastAsia="宋体"/>
          <w:sz w:val="24"/>
          <w:szCs w:val="24"/>
        </w:rPr>
        <w:t>2. 确定标准主要内容的论据</w:t>
      </w:r>
    </w:p>
    <w:p w14:paraId="13C4739A">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（1）关于术语和定义</w:t>
      </w:r>
    </w:p>
    <w:p w14:paraId="72939CA8">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本标准中的术语和定义主要来源包括：</w:t>
      </w:r>
    </w:p>
    <w:p w14:paraId="23EDBE56">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直接引用：“成熟度”、“成熟度等级”等术语直接引用或参考了 GB/T 39116-2020《智能制造能力成熟度模型》和 GB/T 43439-2023《信息技术服务 数字化转型 成熟度模型与评估》等国家标准中的既定定义，保证了与国家标准的统一性。“系统安全”“数据安全”“网络与通信安全”“安全治理”等术语，均引自或适配自GB/T 25069《信息安全技术 术语》、GB/T 37988《数据安全能力成熟度模型》等国家标准，确保术语的规范性和一致性。</w:t>
      </w:r>
    </w:p>
    <w:p w14:paraId="72ABB2E5">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行业界定：针对食品行业数字化特色，新增了“全链条追溯”、“食品质量安全数字化管理”等术语。这些定义是基于行业共识，并结合了 GB 14881《食品生产通用卫生规范》、GB/T 38158《重要产品追溯 追溯体系通用要求》 等食品领域核心标准的要求进行界定的，确保了其在专业语境下的准确性。</w:t>
      </w:r>
    </w:p>
    <w:p w14:paraId="17F8E122">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（2）关于成熟度模型与等级划分</w:t>
      </w:r>
    </w:p>
    <w:p w14:paraId="41E186F4">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模型框架论据：本标准构建的“能力要素-能力域-能力子域”三级模型框架，参考了CMMI（能力成熟度模型集成）、GB/T 39116等成熟模型的通用结构。该结构层次清晰，能够系统性地覆盖企业数字化转型的战略、技术、管理、业务等所有关键维度。</w:t>
      </w:r>
    </w:p>
    <w:p w14:paraId="040321ED">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等级划分论据：设立“初始级、规范级、集成级、优化级、引领级”五个等级，是国内外成熟度模型的通行做法（如CMMI 5级、GB/T 39116 5级）。这种划分方式：</w:t>
      </w:r>
    </w:p>
    <w:p w14:paraId="07392810">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符合发展规律：清晰地描绘了企业数字化从“无序混乱”到“规范管理”，再到“集成优化”，最终实现“创新引领”的演进路径。</w:t>
      </w:r>
    </w:p>
    <w:p w14:paraId="36C2B2AC">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便于对标定位：为企业提供了明确的“阶梯”，使其能够准确找到自身所处阶段，并与行业标杆进行对标。</w:t>
      </w:r>
    </w:p>
    <w:p w14:paraId="664D478D">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指导发展路径：每个等级的特征描述为企业指明了迈向下一等级需要努力的方向和重点。</w:t>
      </w:r>
    </w:p>
    <w:p w14:paraId="5B22E116">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（3）关于评价指标体系</w:t>
      </w:r>
    </w:p>
    <w:p w14:paraId="6421EFB8">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通用能力项论据： 指标体系中“数字化战略”、“数据管理”、“系统集成”等通用能力域和子域，主要参考了 GB/T 43439-2023、GB/T 36073-2018《数据管理能力成熟度评估模型》 等标准的内容，确保了数字化通用能力的全面性。</w:t>
      </w:r>
    </w:p>
    <w:p w14:paraId="04F640D0">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行业特色能力项论据： 本标准的核心创新在于强化了食品行业特色指标：</w:t>
      </w:r>
    </w:p>
    <w:p w14:paraId="76210C4E">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增设“食品质量与安全”能力域： 将GB 14881等食品安全强制性要求转化为数字化管理能力指标，如“卫生规范管理”、“风险监测预警”，引导企业将数字化技术与食品安全管理深度融合。</w:t>
      </w:r>
    </w:p>
    <w:p w14:paraId="6CE1F4A2">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增设“食品追溯与供应链”能力域： 依据《食品安全法》对追溯的要求及GB/T 38158等标准，设计了从“原料”到“消费者”的全链条追溯能力指标，并强调供应链协同，回应了行业对透明化和韧性的迫切需求。</w:t>
      </w:r>
    </w:p>
    <w:p w14:paraId="3372E510">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在“数字化生产”中强调行业特性： 在评价项中具体体现了食品工艺数字化、冷链物流监控、能源环保等与食品生产过程紧密相关的内容。</w:t>
      </w:r>
    </w:p>
    <w:p w14:paraId="420C397C">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（4）关于评价方法</w:t>
      </w:r>
    </w:p>
    <w:p w14:paraId="6A061C8A">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“实现程度”评分法： 该方法简单易行，评估者易于判断，减少了主观歧义，与GB/T 39117《智能制造能力成熟度评估方法》的精神相符。</w:t>
      </w:r>
    </w:p>
    <w:p w14:paraId="0781D9D0">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“双重判定”规则（分数+特征符合性）： 这是本标准评价方法的严谨性体现。</w:t>
      </w:r>
    </w:p>
    <w:p w14:paraId="1B8DC7D2">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定量（分数）： 确保企业在各个能力域都有均衡发展，避免出现严重短板。</w:t>
      </w:r>
    </w:p>
    <w:p w14:paraId="2937932A">
      <w:pPr>
        <w:spacing w:line="360" w:lineRule="auto"/>
        <w:ind w:firstLine="480" w:firstLineChars="200"/>
        <w:rPr>
          <w:rFonts w:ascii="宋体" w:hAnsi="宋体" w:eastAsia="宋体"/>
          <w:sz w:val="24"/>
          <w:szCs w:val="24"/>
        </w:rPr>
      </w:pPr>
      <w:r>
        <w:rPr>
          <w:rFonts w:hint="eastAsia" w:ascii="宋体" w:hAnsi="宋体" w:eastAsia="宋体"/>
          <w:sz w:val="24"/>
          <w:szCs w:val="24"/>
        </w:rPr>
        <w:t>定性（特征符合性）： 防止企业仅通过堆砌技术而得高分，必须真正展现出该等级应有的整体行为模式、数据应用深度和业务变革效果。例如，即使一个企业物联网传感器很多（得分高），但如果数据仅用于展示而未用于优化决策，它依然不符合“优化级”的整体特征。</w:t>
      </w:r>
    </w:p>
    <w:p w14:paraId="4040F40E">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（5）关于安全能力要素</w:t>
      </w:r>
    </w:p>
    <w:p w14:paraId="291760AF">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随着食品企业数字化程度不断提升，系统安全、数据安全、网络通信安全已成为保障企业稳定运行、保护消费者隐私和满足监管合规的核心要素。本标准在成熟度模型中新增“安全”能力要素，下设“系统安全”“数据安全”“网络与通信安全”“安全治理与合规”四个能力域，主要基于以下考虑：</w:t>
      </w:r>
    </w:p>
    <w:p w14:paraId="2E6405A3">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合规性要求：依据《网络安全法》《数据安全法》《个人信息保护法》等法律法规，以及GB/T 22239《信息安全技术 网络安全等级保护基本要求》、GB/T 37988《数据安全能力成熟度模型》等国家标准，将安全要求融入数字化成熟度评价体系，引导企业建立与数字化水平相匹配的安全保障能力。</w:t>
      </w:r>
    </w:p>
    <w:p w14:paraId="14D0C4CE">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行业特殊性：食品行业涉及大量生产控制数据、供应链数据、消费者信息及食品安全追溯数据，一旦泄露或被篡改，将直接影响食品安全和公众信任。因此，安全能力与食品质量安全、追溯能力深度融合至关重要。</w:t>
      </w:r>
    </w:p>
    <w:p w14:paraId="467FE289">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国际实践参考：参考ISO/IEC 27001（信息安全管理体系）、NIST CSF（网络安全框架）等国际标准，将安全治理、风险管理和持续改进的理念嵌入成熟度等级演进路径中。</w:t>
      </w:r>
    </w:p>
    <w:p w14:paraId="0203F991">
      <w:pPr>
        <w:pStyle w:val="3"/>
        <w:rPr>
          <w:rFonts w:hint="eastAsia" w:ascii="宋体" w:hAnsi="宋体" w:eastAsia="宋体"/>
          <w:b/>
          <w:bCs/>
          <w:color w:val="auto"/>
          <w:sz w:val="28"/>
          <w:szCs w:val="28"/>
        </w:rPr>
      </w:pPr>
      <w:r>
        <w:rPr>
          <w:rFonts w:hint="eastAsia" w:ascii="宋体" w:hAnsi="宋体" w:eastAsia="宋体"/>
          <w:b/>
          <w:bCs/>
          <w:color w:val="auto"/>
          <w:sz w:val="28"/>
          <w:szCs w:val="28"/>
        </w:rPr>
        <w:t>三、 与有关法律法规和强制性标准的关系</w:t>
      </w:r>
    </w:p>
    <w:p w14:paraId="5E847F9F">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本标准严格遵守《中华人民共和国标准化法》、《中华人民共和国食品安全法》等国家法律法规。标准内容与 GB 14881《食品安全国家标准 食品生产通用卫生规范》 等强制性国家标准的要求保持一致，并通过数字化手段为其有效落地提供了技术支撑和评价方法。</w:t>
      </w:r>
      <w:r>
        <w:rPr>
          <w:rFonts w:ascii="宋体" w:hAnsi="宋体" w:eastAsia="宋体"/>
          <w:sz w:val="24"/>
          <w:szCs w:val="24"/>
        </w:rPr>
        <w:t>安全相关条款与《中华人民共和国网络安全法》《中华人民共和国数据安全法》等法律法规保持一致，并引用了GB/T 22239、GB/T 37988、GB/T 39276等推荐性国家标准，确保安全要求既符合国家合规基线，又具备行业适用性和前瞻性。</w:t>
      </w:r>
      <w:r>
        <w:rPr>
          <w:rFonts w:hint="eastAsia" w:ascii="宋体" w:hAnsi="宋体" w:eastAsia="宋体"/>
          <w:sz w:val="24"/>
          <w:szCs w:val="24"/>
        </w:rPr>
        <w:t>本标准为推荐性团体标准，是对现有国家标准体系的补充和细化，与现行国家标准协调统一，没有冲突。</w:t>
      </w:r>
    </w:p>
    <w:p w14:paraId="1C20D6D3">
      <w:pPr>
        <w:pStyle w:val="3"/>
        <w:rPr>
          <w:rFonts w:hint="eastAsia" w:ascii="宋体" w:hAnsi="宋体" w:eastAsia="宋体"/>
          <w:b/>
          <w:bCs/>
          <w:color w:val="auto"/>
          <w:sz w:val="28"/>
          <w:szCs w:val="28"/>
        </w:rPr>
      </w:pPr>
      <w:r>
        <w:rPr>
          <w:rFonts w:hint="eastAsia" w:ascii="宋体" w:hAnsi="宋体" w:eastAsia="宋体"/>
          <w:b/>
          <w:bCs/>
          <w:color w:val="auto"/>
          <w:sz w:val="28"/>
          <w:szCs w:val="28"/>
        </w:rPr>
        <w:t>四、 预期效益及贯彻实施建议</w:t>
      </w:r>
    </w:p>
    <w:p w14:paraId="0B545CB7">
      <w:pPr>
        <w:spacing w:line="360" w:lineRule="auto"/>
        <w:rPr>
          <w:rFonts w:hint="eastAsia" w:ascii="宋体" w:hAnsi="宋体" w:eastAsia="宋体"/>
          <w:sz w:val="24"/>
          <w:szCs w:val="24"/>
        </w:rPr>
      </w:pPr>
      <w:r>
        <w:rPr>
          <w:rFonts w:hint="eastAsia" w:ascii="宋体" w:hAnsi="宋体" w:eastAsia="宋体"/>
          <w:sz w:val="24"/>
          <w:szCs w:val="24"/>
        </w:rPr>
        <w:t>1. 预期效益</w:t>
      </w:r>
    </w:p>
    <w:p w14:paraId="4896B1B6">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对企业： 提供自我诊断的“体检表”和发展路径的“导航图”，帮助其理性规划数字化投资，避免盲目建设，提升转型成效。通过将安全能力纳入成熟度评价，帮助企业识别数字化进程中的安全短板，明确安全投入方向，提升整体风险防控能力，避免因安全事件导致的运营中断或声誉损失。</w:t>
      </w:r>
    </w:p>
    <w:p w14:paraId="4172660D">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对行业： 建立统一的衡量标尺，便于开展行业对标、最佳实践推广和示范标杆遴选，整体驱动食品产业数字化水平提升。为行业提供统一的安全能力评估尺度，便于开展安全对标和最佳实践推广。</w:t>
      </w:r>
    </w:p>
    <w:p w14:paraId="1440D41C">
      <w:pPr>
        <w:spacing w:line="360" w:lineRule="auto"/>
        <w:ind w:firstLine="480" w:firstLineChars="200"/>
        <w:rPr>
          <w:rFonts w:ascii="宋体" w:hAnsi="宋体" w:eastAsia="宋体"/>
          <w:sz w:val="24"/>
          <w:szCs w:val="24"/>
        </w:rPr>
      </w:pPr>
      <w:r>
        <w:rPr>
          <w:rFonts w:hint="eastAsia" w:ascii="宋体" w:hAnsi="宋体" w:eastAsia="宋体"/>
          <w:sz w:val="24"/>
          <w:szCs w:val="24"/>
        </w:rPr>
        <w:t>对政府/协会： 为制定相关产业政策、开展行业监测和提供精准服务提供科学依据和数据支撑。为监管部门提供企业安全合规状态的评估依据，支持精准监管和行业安全水平提升。</w:t>
      </w:r>
    </w:p>
    <w:p w14:paraId="1615E0A9">
      <w:pPr>
        <w:spacing w:line="360" w:lineRule="auto"/>
        <w:rPr>
          <w:rFonts w:hint="eastAsia" w:ascii="宋体" w:hAnsi="宋体" w:eastAsia="宋体"/>
          <w:sz w:val="24"/>
          <w:szCs w:val="24"/>
        </w:rPr>
      </w:pPr>
      <w:r>
        <w:rPr>
          <w:rFonts w:hint="eastAsia" w:ascii="宋体" w:hAnsi="宋体" w:eastAsia="宋体"/>
          <w:sz w:val="24"/>
          <w:szCs w:val="24"/>
        </w:rPr>
        <w:t>2. 贯彻实施建议</w:t>
      </w:r>
    </w:p>
    <w:p w14:paraId="6058667E">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由中国副食流通协会牵头，组织开展标准的宣贯和培训工作，解读标准内容与评估方法。</w:t>
      </w:r>
    </w:p>
    <w:p w14:paraId="3A60EB55">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鼓励大型食品企业率先开展基于标准的自评估，并逐步在行业内推广。</w:t>
      </w:r>
    </w:p>
    <w:p w14:paraId="3330E383">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培育和认定一批具备专业能力的第三方评估机构，为企业提供客观、公正的评估服务。</w:t>
      </w:r>
    </w:p>
    <w:p w14:paraId="7594E4F0">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建立评估案例库和最佳实践分享平台，推动行业知识交流和共同进步。</w:t>
      </w:r>
    </w:p>
    <w:p w14:paraId="5C052BFA">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标准本身应建立定期复审和修订机制，以适应技术的快速发展和行业的持续变化。</w:t>
      </w:r>
    </w:p>
    <w:p w14:paraId="0C22FD8A">
      <w:pPr>
        <w:spacing w:line="360" w:lineRule="auto"/>
        <w:ind w:firstLine="480" w:firstLineChars="200"/>
        <w:rPr>
          <w:rFonts w:hint="eastAsia" w:ascii="宋体" w:hAnsi="宋体" w:eastAsia="宋体"/>
          <w:sz w:val="24"/>
          <w:szCs w:val="24"/>
        </w:rPr>
      </w:pPr>
    </w:p>
    <w:p w14:paraId="4D74F820">
      <w:pPr>
        <w:spacing w:line="360" w:lineRule="auto"/>
        <w:ind w:firstLine="480" w:firstLineChars="200"/>
        <w:rPr>
          <w:rFonts w:hint="eastAsia" w:ascii="宋体" w:hAnsi="宋体" w:eastAsia="宋体"/>
          <w:sz w:val="24"/>
          <w:szCs w:val="24"/>
        </w:rPr>
      </w:pPr>
    </w:p>
    <w:p w14:paraId="1B20C7D4">
      <w:pPr>
        <w:spacing w:line="360" w:lineRule="auto"/>
        <w:ind w:firstLine="480" w:firstLineChars="200"/>
        <w:jc w:val="right"/>
        <w:rPr>
          <w:rFonts w:hint="eastAsia" w:ascii="宋体" w:hAnsi="宋体" w:eastAsia="宋体"/>
          <w:sz w:val="24"/>
          <w:szCs w:val="24"/>
        </w:rPr>
      </w:pPr>
      <w:r>
        <w:rPr>
          <w:rFonts w:hint="eastAsia" w:ascii="宋体" w:hAnsi="宋体" w:eastAsia="宋体"/>
          <w:sz w:val="24"/>
          <w:szCs w:val="24"/>
        </w:rPr>
        <w:t>日期：XXXX年XX月XX日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DengXian">
    <w:altName w:val="Segoe Print"/>
    <w:panose1 w:val="00000000000000000000"/>
    <w:charset w:val="00"/>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6461440"/>
      <w:docPartObj>
        <w:docPartGallery w:val="AutoText"/>
      </w:docPartObj>
    </w:sdtPr>
    <w:sdtContent>
      <w:p w14:paraId="5ADF9C44">
        <w:pPr>
          <w:pStyle w:val="11"/>
          <w:jc w:val="center"/>
          <w:rPr>
            <w:rFonts w:hint="eastAsia"/>
          </w:rPr>
        </w:pPr>
        <w:r>
          <w:fldChar w:fldCharType="begin"/>
        </w:r>
        <w:r>
          <w:instrText xml:space="preserve">PAGE   \* MERGEFORMAT</w:instrText>
        </w:r>
        <w:r>
          <w:fldChar w:fldCharType="separate"/>
        </w:r>
        <w:r>
          <w:rPr>
            <w:lang w:val="zh-CN"/>
          </w:rPr>
          <w:t>2</w:t>
        </w:r>
        <w:r>
          <w:fldChar w:fldCharType="end"/>
        </w:r>
      </w:p>
    </w:sdtContent>
  </w:sdt>
  <w:p w14:paraId="4BBECE36">
    <w:pPr>
      <w:pStyle w:val="11"/>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7"/>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
  <w:rsids>
    <w:rsidRoot w:val="001C5519"/>
    <w:rsid w:val="000145BD"/>
    <w:rsid w:val="00061685"/>
    <w:rsid w:val="000B3D9E"/>
    <w:rsid w:val="00116574"/>
    <w:rsid w:val="001272F8"/>
    <w:rsid w:val="00145495"/>
    <w:rsid w:val="001A69B2"/>
    <w:rsid w:val="001C5519"/>
    <w:rsid w:val="00257A6D"/>
    <w:rsid w:val="00283A5D"/>
    <w:rsid w:val="002F35DC"/>
    <w:rsid w:val="002F6257"/>
    <w:rsid w:val="003C7864"/>
    <w:rsid w:val="00410524"/>
    <w:rsid w:val="004640A8"/>
    <w:rsid w:val="004B4937"/>
    <w:rsid w:val="005E0319"/>
    <w:rsid w:val="00697C8D"/>
    <w:rsid w:val="007E3729"/>
    <w:rsid w:val="00805932"/>
    <w:rsid w:val="008F1037"/>
    <w:rsid w:val="0093125E"/>
    <w:rsid w:val="009433F9"/>
    <w:rsid w:val="00A97290"/>
    <w:rsid w:val="00B054D2"/>
    <w:rsid w:val="00B73298"/>
    <w:rsid w:val="00BC4E2E"/>
    <w:rsid w:val="00C1174F"/>
    <w:rsid w:val="00C75B2A"/>
    <w:rsid w:val="00D04324"/>
    <w:rsid w:val="00D13A3B"/>
    <w:rsid w:val="00D53BC8"/>
    <w:rsid w:val="00D74D9D"/>
    <w:rsid w:val="00EC379D"/>
    <w:rsid w:val="58DA13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18"/>
    <w:qFormat/>
    <w:uiPriority w:val="9"/>
    <w:pPr>
      <w:keepNext/>
      <w:keepLines/>
      <w:spacing w:before="480" w:after="80"/>
      <w:outlineLvl w:val="0"/>
    </w:pPr>
    <w:rPr>
      <w:rFonts w:asciiTheme="majorHAnsi" w:hAnsiTheme="majorHAnsi" w:eastAsiaTheme="majorEastAsia" w:cstheme="majorBidi"/>
      <w:color w:val="0F4761" w:themeColor="accent1" w:themeShade="BF"/>
      <w:sz w:val="48"/>
      <w:szCs w:val="48"/>
    </w:rPr>
  </w:style>
  <w:style w:type="paragraph" w:styleId="3">
    <w:name w:val="heading 2"/>
    <w:basedOn w:val="1"/>
    <w:next w:val="1"/>
    <w:link w:val="19"/>
    <w:unhideWhenUsed/>
    <w:qFormat/>
    <w:uiPriority w:val="9"/>
    <w:pPr>
      <w:keepNext/>
      <w:keepLines/>
      <w:spacing w:before="160" w:after="80"/>
      <w:outlineLvl w:val="1"/>
    </w:pPr>
    <w:rPr>
      <w:rFonts w:asciiTheme="majorHAnsi" w:hAnsiTheme="majorHAnsi" w:eastAsiaTheme="majorEastAsia" w:cstheme="majorBidi"/>
      <w:color w:val="0F4761" w:themeColor="accent1" w:themeShade="BF"/>
      <w:sz w:val="40"/>
      <w:szCs w:val="40"/>
    </w:rPr>
  </w:style>
  <w:style w:type="paragraph" w:styleId="4">
    <w:name w:val="heading 3"/>
    <w:basedOn w:val="1"/>
    <w:next w:val="1"/>
    <w:link w:val="20"/>
    <w:semiHidden/>
    <w:unhideWhenUsed/>
    <w:qFormat/>
    <w:uiPriority w:val="9"/>
    <w:pPr>
      <w:keepNext/>
      <w:keepLines/>
      <w:spacing w:before="160" w:after="80"/>
      <w:outlineLvl w:val="2"/>
    </w:pPr>
    <w:rPr>
      <w:rFonts w:asciiTheme="majorHAnsi" w:hAnsiTheme="majorHAnsi" w:eastAsiaTheme="majorEastAsia" w:cstheme="majorBidi"/>
      <w:color w:val="0F4761" w:themeColor="accent1" w:themeShade="BF"/>
      <w:sz w:val="32"/>
      <w:szCs w:val="32"/>
    </w:rPr>
  </w:style>
  <w:style w:type="paragraph" w:styleId="5">
    <w:name w:val="heading 4"/>
    <w:basedOn w:val="1"/>
    <w:next w:val="1"/>
    <w:link w:val="21"/>
    <w:semiHidden/>
    <w:unhideWhenUsed/>
    <w:qFormat/>
    <w:uiPriority w:val="9"/>
    <w:pPr>
      <w:keepNext/>
      <w:keepLines/>
      <w:spacing w:before="80" w:after="40"/>
      <w:outlineLvl w:val="3"/>
    </w:pPr>
    <w:rPr>
      <w:rFonts w:cstheme="majorBidi"/>
      <w:color w:val="0F4761" w:themeColor="accent1" w:themeShade="BF"/>
      <w:sz w:val="28"/>
      <w:szCs w:val="28"/>
    </w:rPr>
  </w:style>
  <w:style w:type="paragraph" w:styleId="6">
    <w:name w:val="heading 5"/>
    <w:basedOn w:val="1"/>
    <w:next w:val="1"/>
    <w:link w:val="22"/>
    <w:semiHidden/>
    <w:unhideWhenUsed/>
    <w:qFormat/>
    <w:uiPriority w:val="9"/>
    <w:pPr>
      <w:keepNext/>
      <w:keepLines/>
      <w:spacing w:before="80" w:after="40"/>
      <w:outlineLvl w:val="4"/>
    </w:pPr>
    <w:rPr>
      <w:rFonts w:cstheme="majorBidi"/>
      <w:color w:val="0F4761" w:themeColor="accent1" w:themeShade="BF"/>
      <w:sz w:val="24"/>
      <w:szCs w:val="24"/>
    </w:rPr>
  </w:style>
  <w:style w:type="paragraph" w:styleId="7">
    <w:name w:val="heading 6"/>
    <w:basedOn w:val="1"/>
    <w:next w:val="1"/>
    <w:link w:val="23"/>
    <w:semiHidden/>
    <w:unhideWhenUsed/>
    <w:qFormat/>
    <w:uiPriority w:val="9"/>
    <w:pPr>
      <w:keepNext/>
      <w:keepLines/>
      <w:spacing w:before="40"/>
      <w:outlineLvl w:val="5"/>
    </w:pPr>
    <w:rPr>
      <w:rFonts w:cstheme="majorBidi"/>
      <w:b/>
      <w:bCs/>
      <w:color w:val="0F4761" w:themeColor="accent1" w:themeShade="BF"/>
    </w:rPr>
  </w:style>
  <w:style w:type="paragraph" w:styleId="8">
    <w:name w:val="heading 7"/>
    <w:basedOn w:val="1"/>
    <w:next w:val="1"/>
    <w:link w:val="24"/>
    <w:semiHidden/>
    <w:unhideWhenUsed/>
    <w:qFormat/>
    <w:uiPriority w:val="9"/>
    <w:pPr>
      <w:keepNext/>
      <w:keepLines/>
      <w:spacing w:before="40"/>
      <w:outlineLvl w:val="6"/>
    </w:pPr>
    <w:rPr>
      <w:rFonts w:cstheme="majorBidi"/>
      <w:b/>
      <w:bCs/>
      <w:color w:val="585858" w:themeColor="text1" w:themeTint="A6"/>
    </w:rPr>
  </w:style>
  <w:style w:type="paragraph" w:styleId="9">
    <w:name w:val="heading 8"/>
    <w:basedOn w:val="1"/>
    <w:next w:val="1"/>
    <w:link w:val="25"/>
    <w:semiHidden/>
    <w:unhideWhenUsed/>
    <w:qFormat/>
    <w:uiPriority w:val="9"/>
    <w:pPr>
      <w:keepNext/>
      <w:keepLines/>
      <w:outlineLvl w:val="7"/>
    </w:pPr>
    <w:rPr>
      <w:rFonts w:cstheme="majorBidi"/>
      <w:color w:val="585858" w:themeColor="text1" w:themeTint="A6"/>
    </w:rPr>
  </w:style>
  <w:style w:type="paragraph" w:styleId="10">
    <w:name w:val="heading 9"/>
    <w:basedOn w:val="1"/>
    <w:next w:val="1"/>
    <w:link w:val="26"/>
    <w:semiHidden/>
    <w:unhideWhenUsed/>
    <w:qFormat/>
    <w:uiPriority w:val="9"/>
    <w:pPr>
      <w:keepNext/>
      <w:keepLines/>
      <w:outlineLvl w:val="8"/>
    </w:pPr>
    <w:rPr>
      <w:rFonts w:eastAsiaTheme="majorEastAsia" w:cstheme="majorBidi"/>
      <w:color w:val="585858" w:themeColor="text1" w:themeTint="A6"/>
    </w:rPr>
  </w:style>
  <w:style w:type="character" w:default="1" w:styleId="16">
    <w:name w:val="Default Paragraph Font"/>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8"/>
    <w:unhideWhenUsed/>
    <w:qFormat/>
    <w:uiPriority w:val="99"/>
    <w:pPr>
      <w:tabs>
        <w:tab w:val="center" w:pos="4153"/>
        <w:tab w:val="right" w:pos="8306"/>
      </w:tabs>
      <w:snapToGrid w:val="0"/>
      <w:jc w:val="left"/>
    </w:pPr>
    <w:rPr>
      <w:sz w:val="18"/>
      <w:szCs w:val="18"/>
    </w:rPr>
  </w:style>
  <w:style w:type="paragraph" w:styleId="12">
    <w:name w:val="header"/>
    <w:basedOn w:val="1"/>
    <w:link w:val="37"/>
    <w:unhideWhenUsed/>
    <w:qFormat/>
    <w:uiPriority w:val="99"/>
    <w:pPr>
      <w:tabs>
        <w:tab w:val="center" w:pos="4153"/>
        <w:tab w:val="right" w:pos="8306"/>
      </w:tabs>
      <w:snapToGrid w:val="0"/>
      <w:jc w:val="center"/>
    </w:pPr>
    <w:rPr>
      <w:sz w:val="18"/>
      <w:szCs w:val="18"/>
    </w:rPr>
  </w:style>
  <w:style w:type="paragraph" w:styleId="13">
    <w:name w:val="Subtitle"/>
    <w:basedOn w:val="1"/>
    <w:next w:val="1"/>
    <w:link w:val="28"/>
    <w:qFormat/>
    <w:uiPriority w:val="11"/>
    <w:pPr>
      <w:spacing w:after="160"/>
      <w:jc w:val="center"/>
    </w:pPr>
    <w:rPr>
      <w:rFonts w:asciiTheme="majorHAnsi" w:hAnsiTheme="majorHAnsi" w:eastAsiaTheme="majorEastAsia" w:cstheme="majorBidi"/>
      <w:color w:val="585858" w:themeColor="text1" w:themeTint="A6"/>
      <w:spacing w:val="15"/>
      <w:sz w:val="28"/>
      <w:szCs w:val="28"/>
    </w:rPr>
  </w:style>
  <w:style w:type="paragraph" w:styleId="14">
    <w:name w:val="Title"/>
    <w:basedOn w:val="1"/>
    <w:next w:val="1"/>
    <w:link w:val="27"/>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styleId="17">
    <w:name w:val="Hyperlink"/>
    <w:basedOn w:val="16"/>
    <w:unhideWhenUsed/>
    <w:qFormat/>
    <w:uiPriority w:val="99"/>
    <w:rPr>
      <w:color w:val="467886" w:themeColor="hyperlink"/>
      <w:u w:val="single"/>
    </w:rPr>
  </w:style>
  <w:style w:type="character" w:customStyle="1" w:styleId="18">
    <w:name w:val="标题 1 字符"/>
    <w:basedOn w:val="16"/>
    <w:link w:val="2"/>
    <w:qFormat/>
    <w:uiPriority w:val="9"/>
    <w:rPr>
      <w:rFonts w:asciiTheme="majorHAnsi" w:hAnsiTheme="majorHAnsi" w:eastAsiaTheme="majorEastAsia" w:cstheme="majorBidi"/>
      <w:color w:val="0F4761" w:themeColor="accent1" w:themeShade="BF"/>
      <w:sz w:val="48"/>
      <w:szCs w:val="48"/>
    </w:rPr>
  </w:style>
  <w:style w:type="character" w:customStyle="1" w:styleId="19">
    <w:name w:val="标题 2 字符"/>
    <w:basedOn w:val="16"/>
    <w:link w:val="3"/>
    <w:qFormat/>
    <w:uiPriority w:val="9"/>
    <w:rPr>
      <w:rFonts w:asciiTheme="majorHAnsi" w:hAnsiTheme="majorHAnsi" w:eastAsiaTheme="majorEastAsia" w:cstheme="majorBidi"/>
      <w:color w:val="0F4761" w:themeColor="accent1" w:themeShade="BF"/>
      <w:sz w:val="40"/>
      <w:szCs w:val="40"/>
    </w:rPr>
  </w:style>
  <w:style w:type="character" w:customStyle="1" w:styleId="20">
    <w:name w:val="标题 3 字符"/>
    <w:basedOn w:val="16"/>
    <w:link w:val="4"/>
    <w:semiHidden/>
    <w:qFormat/>
    <w:uiPriority w:val="9"/>
    <w:rPr>
      <w:rFonts w:asciiTheme="majorHAnsi" w:hAnsiTheme="majorHAnsi" w:eastAsiaTheme="majorEastAsia" w:cstheme="majorBidi"/>
      <w:color w:val="0F4761" w:themeColor="accent1" w:themeShade="BF"/>
      <w:sz w:val="32"/>
      <w:szCs w:val="32"/>
    </w:rPr>
  </w:style>
  <w:style w:type="character" w:customStyle="1" w:styleId="21">
    <w:name w:val="标题 4 字符"/>
    <w:basedOn w:val="16"/>
    <w:link w:val="5"/>
    <w:semiHidden/>
    <w:qFormat/>
    <w:uiPriority w:val="9"/>
    <w:rPr>
      <w:rFonts w:cstheme="majorBidi"/>
      <w:color w:val="0F4761" w:themeColor="accent1" w:themeShade="BF"/>
      <w:sz w:val="28"/>
      <w:szCs w:val="28"/>
    </w:rPr>
  </w:style>
  <w:style w:type="character" w:customStyle="1" w:styleId="22">
    <w:name w:val="标题 5 字符"/>
    <w:basedOn w:val="16"/>
    <w:link w:val="6"/>
    <w:semiHidden/>
    <w:qFormat/>
    <w:uiPriority w:val="9"/>
    <w:rPr>
      <w:rFonts w:cstheme="majorBidi"/>
      <w:color w:val="0F4761" w:themeColor="accent1" w:themeShade="BF"/>
      <w:sz w:val="24"/>
      <w:szCs w:val="24"/>
    </w:rPr>
  </w:style>
  <w:style w:type="character" w:customStyle="1" w:styleId="23">
    <w:name w:val="标题 6 字符"/>
    <w:basedOn w:val="16"/>
    <w:link w:val="7"/>
    <w:semiHidden/>
    <w:qFormat/>
    <w:uiPriority w:val="9"/>
    <w:rPr>
      <w:rFonts w:cstheme="majorBidi"/>
      <w:b/>
      <w:bCs/>
      <w:color w:val="0F4761" w:themeColor="accent1" w:themeShade="BF"/>
    </w:rPr>
  </w:style>
  <w:style w:type="character" w:customStyle="1" w:styleId="24">
    <w:name w:val="标题 7 字符"/>
    <w:basedOn w:val="16"/>
    <w:link w:val="8"/>
    <w:semiHidden/>
    <w:qFormat/>
    <w:uiPriority w:val="9"/>
    <w:rPr>
      <w:rFonts w:cstheme="majorBidi"/>
      <w:b/>
      <w:bCs/>
      <w:color w:val="585858" w:themeColor="text1" w:themeTint="A6"/>
    </w:rPr>
  </w:style>
  <w:style w:type="character" w:customStyle="1" w:styleId="25">
    <w:name w:val="标题 8 字符"/>
    <w:basedOn w:val="16"/>
    <w:link w:val="9"/>
    <w:semiHidden/>
    <w:qFormat/>
    <w:uiPriority w:val="9"/>
    <w:rPr>
      <w:rFonts w:cstheme="majorBidi"/>
      <w:color w:val="585858" w:themeColor="text1" w:themeTint="A6"/>
    </w:rPr>
  </w:style>
  <w:style w:type="character" w:customStyle="1" w:styleId="26">
    <w:name w:val="标题 9 字符"/>
    <w:basedOn w:val="16"/>
    <w:link w:val="10"/>
    <w:semiHidden/>
    <w:qFormat/>
    <w:uiPriority w:val="9"/>
    <w:rPr>
      <w:rFonts w:eastAsiaTheme="majorEastAsia" w:cstheme="majorBidi"/>
      <w:color w:val="585858" w:themeColor="text1" w:themeTint="A6"/>
    </w:rPr>
  </w:style>
  <w:style w:type="character" w:customStyle="1" w:styleId="27">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8">
    <w:name w:val="副标题 字符"/>
    <w:basedOn w:val="16"/>
    <w:link w:val="13"/>
    <w:qFormat/>
    <w:uiPriority w:val="11"/>
    <w:rPr>
      <w:rFonts w:asciiTheme="majorHAnsi" w:hAnsiTheme="majorHAnsi" w:eastAsiaTheme="majorEastAsia" w:cstheme="majorBidi"/>
      <w:color w:val="585858" w:themeColor="text1" w:themeTint="A6"/>
      <w:spacing w:val="15"/>
      <w:sz w:val="28"/>
      <w:szCs w:val="28"/>
    </w:rPr>
  </w:style>
  <w:style w:type="paragraph" w:styleId="29">
    <w:name w:val="Quote"/>
    <w:basedOn w:val="1"/>
    <w:next w:val="1"/>
    <w:link w:val="30"/>
    <w:qFormat/>
    <w:uiPriority w:val="29"/>
    <w:pPr>
      <w:spacing w:before="160" w:after="160"/>
      <w:jc w:val="center"/>
    </w:pPr>
    <w:rPr>
      <w:i/>
      <w:iCs/>
      <w:color w:val="3F3F3F" w:themeColor="text1" w:themeTint="BF"/>
    </w:rPr>
  </w:style>
  <w:style w:type="character" w:customStyle="1" w:styleId="30">
    <w:name w:val="引用 字符"/>
    <w:basedOn w:val="16"/>
    <w:link w:val="29"/>
    <w:qFormat/>
    <w:uiPriority w:val="29"/>
    <w:rPr>
      <w:i/>
      <w:iCs/>
      <w:color w:val="3F3F3F" w:themeColor="text1" w:themeTint="BF"/>
    </w:rPr>
  </w:style>
  <w:style w:type="paragraph" w:styleId="31">
    <w:name w:val="List Paragraph"/>
    <w:basedOn w:val="1"/>
    <w:qFormat/>
    <w:uiPriority w:val="34"/>
    <w:pPr>
      <w:ind w:left="720"/>
      <w:contextualSpacing/>
    </w:pPr>
  </w:style>
  <w:style w:type="character" w:customStyle="1" w:styleId="32">
    <w:name w:val="Intense Emphasis"/>
    <w:basedOn w:val="16"/>
    <w:qFormat/>
    <w:uiPriority w:val="21"/>
    <w:rPr>
      <w:i/>
      <w:iCs/>
      <w:color w:val="0F4761" w:themeColor="accent1" w:themeShade="BF"/>
    </w:rPr>
  </w:style>
  <w:style w:type="paragraph" w:styleId="33">
    <w:name w:val="Intense Quote"/>
    <w:basedOn w:val="1"/>
    <w:next w:val="1"/>
    <w:link w:val="34"/>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customStyle="1" w:styleId="34">
    <w:name w:val="明显引用 字符"/>
    <w:basedOn w:val="16"/>
    <w:link w:val="33"/>
    <w:qFormat/>
    <w:uiPriority w:val="30"/>
    <w:rPr>
      <w:i/>
      <w:iCs/>
      <w:color w:val="0F4761" w:themeColor="accent1" w:themeShade="BF"/>
    </w:rPr>
  </w:style>
  <w:style w:type="character" w:customStyle="1" w:styleId="35">
    <w:name w:val="Intense Reference"/>
    <w:basedOn w:val="16"/>
    <w:qFormat/>
    <w:uiPriority w:val="32"/>
    <w:rPr>
      <w:b/>
      <w:bCs/>
      <w:smallCaps/>
      <w:color w:val="0F4761" w:themeColor="accent1" w:themeShade="BF"/>
      <w:spacing w:val="5"/>
    </w:rPr>
  </w:style>
  <w:style w:type="character" w:customStyle="1" w:styleId="36">
    <w:name w:val="Unresolved Mention"/>
    <w:basedOn w:val="16"/>
    <w:semiHidden/>
    <w:unhideWhenUsed/>
    <w:qFormat/>
    <w:uiPriority w:val="99"/>
    <w:rPr>
      <w:color w:val="605E5C"/>
      <w:shd w:val="clear" w:color="auto" w:fill="E1DFDD"/>
    </w:rPr>
  </w:style>
  <w:style w:type="character" w:customStyle="1" w:styleId="37">
    <w:name w:val="页眉 字符"/>
    <w:basedOn w:val="16"/>
    <w:link w:val="12"/>
    <w:qFormat/>
    <w:uiPriority w:val="99"/>
    <w:rPr>
      <w:sz w:val="18"/>
      <w:szCs w:val="18"/>
    </w:rPr>
  </w:style>
  <w:style w:type="character" w:customStyle="1" w:styleId="38">
    <w:name w:val="页脚 字符"/>
    <w:basedOn w:val="16"/>
    <w:link w:val="11"/>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3527</Words>
  <Characters>3740</Characters>
  <Lines>27</Lines>
  <Paragraphs>7</Paragraphs>
  <TotalTime>56</TotalTime>
  <ScaleCrop>false</ScaleCrop>
  <LinksUpToDate>false</LinksUpToDate>
  <CharactersWithSpaces>3799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2025-09-10T01:53:00Z</dcterms:created>
  <dc:creator>海伟 高</dc:creator>
  <cp:lastModifiedBy>Febe-v-</cp:lastModifiedBy>
  <dcterms:modified xsi:type="dcterms:W3CDTF">2025-09-30T02:42:10Z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eyJoZGlkIjoiY2ZlMTYwNTBmNGM0ZjEyODMyMjQ2NjNmZDBlODI0MGUiLCJ1c2VySWQiOiIzOTI1MzU5NDAifQ==</vt:lpwstr>
  </property>
  <property fmtid="{D5CDD505-2E9C-101B-9397-08002B2CF9AE}" pid="3" name="KSOProductBuildVer">
    <vt:lpwstr>2052-12.1.0.22529</vt:lpwstr>
  </property>
  <property fmtid="{D5CDD505-2E9C-101B-9397-08002B2CF9AE}" pid="4" name="ICV">
    <vt:lpwstr>127CBB398DE1428093524957C243CA2B_12</vt:lpwstr>
  </property>
</Properties>
</file>